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542A1A">
        <w:rPr>
          <w:rFonts w:ascii="Tw Cen MT" w:hAnsi="Tw Cen MT" w:cs="Tw Cen MT"/>
          <w:b/>
          <w:bCs/>
          <w:sz w:val="24"/>
          <w:szCs w:val="24"/>
        </w:rPr>
        <w:t xml:space="preserve">01 TÉCNICO PARAMÉDICO CR PEDIATRÍA </w:t>
      </w:r>
    </w:p>
    <w:p w:rsidR="00542A1A" w:rsidRDefault="00542A1A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 xml:space="preserve">RESOLUCIÓN N° </w:t>
      </w:r>
      <w:r w:rsidR="00BB19EA">
        <w:rPr>
          <w:rFonts w:ascii="Tw Cen MT" w:hAnsi="Tw Cen MT" w:cs="Tw Cen MT"/>
          <w:b/>
          <w:bCs/>
          <w:sz w:val="24"/>
          <w:szCs w:val="24"/>
        </w:rPr>
        <w:t>1125</w:t>
      </w:r>
      <w:r>
        <w:rPr>
          <w:rFonts w:ascii="Tw Cen MT" w:hAnsi="Tw Cen MT" w:cs="Tw Cen MT"/>
          <w:b/>
          <w:bCs/>
          <w:sz w:val="24"/>
          <w:szCs w:val="24"/>
        </w:rPr>
        <w:t xml:space="preserve">- </w:t>
      </w:r>
      <w:r w:rsidR="00BB19EA">
        <w:rPr>
          <w:rFonts w:ascii="Tw Cen MT" w:hAnsi="Tw Cen MT" w:cs="Tw Cen MT"/>
          <w:b/>
          <w:bCs/>
          <w:sz w:val="24"/>
          <w:szCs w:val="24"/>
        </w:rPr>
        <w:t>21</w:t>
      </w:r>
      <w:r>
        <w:rPr>
          <w:rFonts w:ascii="Tw Cen MT" w:hAnsi="Tw Cen MT" w:cs="Tw Cen MT"/>
          <w:b/>
          <w:bCs/>
          <w:sz w:val="24"/>
          <w:szCs w:val="24"/>
        </w:rPr>
        <w:t>/</w:t>
      </w:r>
      <w:r w:rsidR="00BB19EA">
        <w:rPr>
          <w:rFonts w:ascii="Tw Cen MT" w:hAnsi="Tw Cen MT" w:cs="Tw Cen MT"/>
          <w:b/>
          <w:bCs/>
          <w:sz w:val="24"/>
          <w:szCs w:val="24"/>
        </w:rPr>
        <w:t>02</w:t>
      </w:r>
      <w:r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542A1A">
        <w:rPr>
          <w:rFonts w:ascii="Arial" w:hAnsi="Arial" w:cs="Arial"/>
        </w:rPr>
        <w:t xml:space="preserve">01 Técnico Paramédico 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42A1A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F21E78" w:rsidRDefault="0039529C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:rsidR="00736904" w:rsidRPr="004219BA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4219BA">
        <w:rPr>
          <w:rFonts w:ascii="Arial" w:hAnsi="Arial" w:cs="Arial"/>
          <w:bCs/>
        </w:rPr>
        <w:t>Renta Bruta</w:t>
      </w:r>
      <w:r w:rsidRPr="004219BA">
        <w:rPr>
          <w:rFonts w:ascii="Arial" w:hAnsi="Arial" w:cs="Arial"/>
          <w:bCs/>
        </w:rPr>
        <w:tab/>
      </w:r>
      <w:r w:rsidRPr="004219BA">
        <w:rPr>
          <w:rFonts w:ascii="Arial" w:hAnsi="Arial" w:cs="Arial"/>
          <w:bCs/>
        </w:rPr>
        <w:tab/>
        <w:t>:</w:t>
      </w:r>
      <w:r w:rsidR="000E7501" w:rsidRPr="004219BA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542A1A">
        <w:rPr>
          <w:rFonts w:ascii="Arial" w:hAnsi="Arial" w:cs="Arial"/>
          <w:color w:val="263238"/>
        </w:rPr>
        <w:t>528.359</w:t>
      </w:r>
      <w:r w:rsidR="004219BA">
        <w:rPr>
          <w:rFonts w:ascii="Arial" w:hAnsi="Arial" w:cs="Arial"/>
          <w:color w:val="263238"/>
        </w:rPr>
        <w:t xml:space="preserve"> </w:t>
      </w:r>
      <w:r w:rsidRPr="004219BA">
        <w:rPr>
          <w:rFonts w:ascii="Arial" w:hAnsi="Arial" w:cs="Arial"/>
          <w:color w:val="222222"/>
          <w:shd w:val="clear" w:color="auto" w:fill="FFFFFF"/>
        </w:rPr>
        <w:t>aproximado.-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55"/>
      </w:tblGrid>
      <w:tr w:rsidR="00542A1A" w:rsidRPr="00204FD5" w:rsidTr="00542A1A">
        <w:trPr>
          <w:jc w:val="center"/>
        </w:trPr>
        <w:tc>
          <w:tcPr>
            <w:tcW w:w="4962" w:type="dxa"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Técnico Paramédico SCR Pediatría.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Técnico.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</w:tcPr>
          <w:p w:rsidR="00542A1A" w:rsidRPr="002176FC" w:rsidRDefault="00542A1A" w:rsidP="00542A1A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22° EUR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>Unidad y lugar de desempeño</w:t>
            </w:r>
          </w:p>
        </w:tc>
        <w:tc>
          <w:tcPr>
            <w:tcW w:w="5055" w:type="dxa"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SCR Pediatría.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</w:tcPr>
          <w:p w:rsidR="00542A1A" w:rsidRPr="002176FC" w:rsidRDefault="00542A1A" w:rsidP="00542A1A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Enfermera Supervisora SCR Pediatría.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Subdirectora de Enfermería.</w:t>
            </w:r>
          </w:p>
        </w:tc>
      </w:tr>
      <w:tr w:rsidR="00542A1A" w:rsidRPr="00204FD5" w:rsidTr="00542A1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/>
                <w:lang w:val="es-MX"/>
              </w:rPr>
            </w:pPr>
            <w:r w:rsidRPr="002176FC">
              <w:rPr>
                <w:rFonts w:ascii="Arial" w:hAnsi="Arial" w:cs="Arial"/>
                <w:b/>
                <w:lang w:val="es-MX"/>
              </w:rPr>
              <w:t>Turno o Jornada Laboral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3° Turno, o jornada de 8:00 a 16:48 horas, en caso de adjudicarse un cargo de jornada, pasará a turno de acuerdo a necesidades del servicio.</w:t>
            </w:r>
          </w:p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Deberá tener disposición para realizar turnos extras de refuerzo cuando se le solicite por necesidades del servicio.</w:t>
            </w:r>
          </w:p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86FFF" w:rsidRPr="00542A1A" w:rsidRDefault="00086FFF" w:rsidP="00086FFF">
      <w:pPr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542A1A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Técnico paramédico en rol de turno (3°), o jornada,  capaz de entregar una atención directa e integral a los pacientes hospitalizados en el SCR Pediatría.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698"/>
        <w:gridCol w:w="1891"/>
        <w:gridCol w:w="2325"/>
      </w:tblGrid>
      <w:tr w:rsidR="00542A1A" w:rsidRPr="00204FD5" w:rsidTr="00542A1A">
        <w:trPr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2176FC">
              <w:rPr>
                <w:rFonts w:ascii="Arial" w:hAnsi="Arial" w:cs="Arial"/>
                <w:b/>
                <w:bCs/>
                <w:lang w:val="es-MX"/>
              </w:rPr>
              <w:lastRenderedPageBreak/>
              <w:t>Funciones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Frecuencia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Nivel  de Responsabilidad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Observaciones </w:t>
            </w:r>
          </w:p>
        </w:tc>
      </w:tr>
      <w:tr w:rsidR="00542A1A" w:rsidRPr="00204FD5" w:rsidTr="00542A1A">
        <w:trPr>
          <w:trHeight w:val="810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Participar en la entrega y recepción de turnos del SCR Pediatría.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Compartido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Comparte responsabilidad con Enfermeros(a)</w:t>
            </w:r>
          </w:p>
        </w:tc>
      </w:tr>
      <w:tr w:rsidR="00542A1A" w:rsidRPr="00204FD5" w:rsidTr="00542A1A">
        <w:trPr>
          <w:trHeight w:val="415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Controlar y registrar los signos vitales de los pacientes hospitalizados.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tabs>
                <w:tab w:val="left" w:pos="330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465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Vigilar y cuidar en forma continua los pacientes a su cargo.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515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Administrar medicamentos a los pacientes que lo requieran.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indicación médica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551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Realizar trámites de ingreso y alta de los pacientes.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</w:rPr>
            </w:pPr>
            <w:r w:rsidRPr="002176FC">
              <w:rPr>
                <w:rFonts w:ascii="Arial" w:hAnsi="Arial" w:cs="Arial"/>
                <w:bCs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431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Trasladar a pacientes a servicios de apoyo.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467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Realizar labores para favorecer el confort de las pacientes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Trasladar exámenes de los pacientes a los servicios de apoyo. 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Asistir a reuniones clínicas o capacitaciones programadas en su servicio.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Disponibilidad para realizar traslados.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Realizar ayudantía a médico o enfermera,  frente a procedimientos que lo ameriten.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Compartido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highlight w:val="cyan"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  <w:lang w:val="es-MX"/>
              </w:rPr>
              <w:t>Mantener su credencial de funcionario en su horario de trabajo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Regir sus funciones bajo el Estatuto Administrativo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</w:rPr>
              <w:t>Diariamente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trHeight w:val="673"/>
          <w:jc w:val="center"/>
        </w:trPr>
        <w:tc>
          <w:tcPr>
            <w:tcW w:w="4067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Otras funciones que le encomiende su jefatura directa o superior.</w:t>
            </w:r>
          </w:p>
        </w:tc>
        <w:tc>
          <w:tcPr>
            <w:tcW w:w="1698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9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Completa</w:t>
            </w:r>
          </w:p>
        </w:tc>
        <w:tc>
          <w:tcPr>
            <w:tcW w:w="2325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542A1A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2176FC">
              <w:rPr>
                <w:rFonts w:ascii="Arial" w:hAnsi="Arial" w:cs="Arial"/>
              </w:rPr>
              <w:t>Conocer los formularios GES, tramitar documentos Ges, ENO e interconsulta confeccionado por médico, entregando a secretaria o a quien corresponda, y educar al paciente.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42A1A" w:rsidP="00122E3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42A1A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proofErr w:type="gramStart"/>
      <w:r w:rsidR="00086FFF" w:rsidRPr="006314D1">
        <w:rPr>
          <w:rFonts w:ascii="Arial" w:hAnsi="Arial" w:cs="Arial"/>
          <w:b/>
          <w:lang w:val="pt-BR"/>
        </w:rPr>
        <w:t>Título(</w:t>
      </w:r>
      <w:proofErr w:type="gramEnd"/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542A1A" w:rsidP="00086FFF">
            <w:pPr>
              <w:jc w:val="both"/>
              <w:rPr>
                <w:rFonts w:ascii="Arial" w:hAnsi="Arial" w:cs="Arial"/>
              </w:rPr>
            </w:pPr>
            <w:r w:rsidRPr="007040C3">
              <w:rPr>
                <w:rFonts w:ascii="Arial" w:hAnsi="Arial" w:cs="Arial"/>
              </w:rPr>
              <w:t xml:space="preserve">Técnico en Enfermería </w:t>
            </w:r>
            <w:r>
              <w:rPr>
                <w:rFonts w:ascii="Arial" w:hAnsi="Arial" w:cs="Arial"/>
              </w:rPr>
              <w:t xml:space="preserve">de </w:t>
            </w:r>
            <w:r w:rsidRPr="007040C3">
              <w:rPr>
                <w:rFonts w:ascii="Arial" w:hAnsi="Arial" w:cs="Arial"/>
              </w:rPr>
              <w:t>Nivel Superior.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086FFF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086FFF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42A1A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86FFF" w:rsidRPr="006314D1" w:rsidTr="00086FFF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42A1A" w:rsidP="00A0108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 aplica.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542A1A" w:rsidRPr="00204FD5" w:rsidTr="00542A1A">
        <w:trPr>
          <w:trHeight w:val="774"/>
          <w:jc w:val="center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A1A" w:rsidRPr="00204FD5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Deseable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Excluyente</w:t>
            </w: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Curso de IAAS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Curso de RCP Básico.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  <w:lang w:val="es-MX"/>
              </w:rPr>
              <w:t>Curso relacionado al buen trato con el usuario.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Constancia Certificado de Jornada Inducción Obligatoria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Constancia Capacitación en Prevención Accidentes </w:t>
            </w:r>
            <w:proofErr w:type="spellStart"/>
            <w:r w:rsidRPr="002176FC">
              <w:rPr>
                <w:rFonts w:ascii="Arial" w:hAnsi="Arial" w:cs="Arial"/>
                <w:lang w:val="es-MX"/>
              </w:rPr>
              <w:t>Cortopunzantes</w:t>
            </w:r>
            <w:proofErr w:type="spellEnd"/>
            <w:r w:rsidRPr="002176FC">
              <w:rPr>
                <w:rFonts w:ascii="Arial" w:hAnsi="Arial" w:cs="Arial"/>
                <w:lang w:val="es-MX"/>
              </w:rPr>
              <w:t xml:space="preserve">, entregado por Subdirección de Enfermería.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Curso lenguaje de señas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42A1A" w:rsidRPr="00204FD5" w:rsidTr="00542A1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Ges Básico.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42A1A" w:rsidRPr="00204FD5" w:rsidTr="00542A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highlight w:val="yellow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Experiencia Laboral en un cargo igual  o similar.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highlight w:val="yellow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Experiencia en el SCR Pediatría. 6 meses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highlight w:val="yellow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542A1A" w:rsidRPr="00204FD5" w:rsidTr="00542A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1A" w:rsidRPr="002176FC" w:rsidRDefault="00542A1A" w:rsidP="00542A1A">
            <w:pPr>
              <w:rPr>
                <w:rFonts w:ascii="Arial" w:hAnsi="Arial" w:cs="Arial"/>
                <w:i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Años de experiencia requeridos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1 año de experiencia.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542A1A" w:rsidRDefault="00542A1A" w:rsidP="00086FFF">
      <w:pPr>
        <w:rPr>
          <w:rFonts w:ascii="Arial" w:hAnsi="Arial" w:cs="Arial"/>
          <w:b/>
          <w:lang w:val="es-MX"/>
        </w:rPr>
      </w:pPr>
    </w:p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542A1A" w:rsidRPr="00204FD5" w:rsidTr="00542A1A">
        <w:trPr>
          <w:jc w:val="center"/>
        </w:trPr>
        <w:tc>
          <w:tcPr>
            <w:tcW w:w="3936" w:type="dxa"/>
            <w:vMerge w:val="restart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76FC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76FC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542A1A" w:rsidRPr="00204FD5" w:rsidTr="00542A1A">
        <w:trPr>
          <w:jc w:val="center"/>
        </w:trPr>
        <w:tc>
          <w:tcPr>
            <w:tcW w:w="3936" w:type="dxa"/>
            <w:vMerge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76FC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76FC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542A1A" w:rsidRPr="00204FD5" w:rsidTr="00542A1A">
        <w:trPr>
          <w:jc w:val="center"/>
        </w:trPr>
        <w:tc>
          <w:tcPr>
            <w:tcW w:w="393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lastRenderedPageBreak/>
              <w:t>Procesador de texto(Word)</w:t>
            </w:r>
          </w:p>
        </w:tc>
        <w:tc>
          <w:tcPr>
            <w:tcW w:w="255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6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04FD5" w:rsidTr="00542A1A">
        <w:trPr>
          <w:jc w:val="center"/>
        </w:trPr>
        <w:tc>
          <w:tcPr>
            <w:tcW w:w="393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6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04FD5" w:rsidTr="00542A1A">
        <w:trPr>
          <w:jc w:val="center"/>
        </w:trPr>
        <w:tc>
          <w:tcPr>
            <w:tcW w:w="393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256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04FD5" w:rsidTr="00542A1A">
        <w:trPr>
          <w:jc w:val="center"/>
        </w:trPr>
        <w:tc>
          <w:tcPr>
            <w:tcW w:w="393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Presentaciones (</w:t>
            </w:r>
            <w:proofErr w:type="spellStart"/>
            <w:r w:rsidRPr="002176FC">
              <w:rPr>
                <w:rFonts w:ascii="Arial" w:hAnsi="Arial" w:cs="Arial"/>
                <w:lang w:val="es-MX"/>
              </w:rPr>
              <w:t>Power</w:t>
            </w:r>
            <w:proofErr w:type="spellEnd"/>
            <w:r w:rsidRPr="002176FC">
              <w:rPr>
                <w:rFonts w:ascii="Arial" w:hAnsi="Arial" w:cs="Arial"/>
                <w:lang w:val="es-MX"/>
              </w:rPr>
              <w:t xml:space="preserve"> Point)</w:t>
            </w:r>
          </w:p>
        </w:tc>
        <w:tc>
          <w:tcPr>
            <w:tcW w:w="255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256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31" w:type="dxa"/>
          </w:tcPr>
          <w:p w:rsidR="00542A1A" w:rsidRPr="00C358BA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733" w:type="dxa"/>
          </w:tcPr>
          <w:p w:rsidR="00542A1A" w:rsidRPr="00C358BA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3592" w:type="dxa"/>
          </w:tcPr>
          <w:p w:rsidR="00542A1A" w:rsidRPr="00C358BA" w:rsidRDefault="00542A1A" w:rsidP="00542A1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Especificar</w:t>
            </w: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42A1A" w:rsidRPr="000D7CD7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542A1A" w:rsidRPr="000D7CD7" w:rsidRDefault="00542A1A" w:rsidP="00542A1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Información de los funcionarios</w:t>
            </w: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542A1A" w:rsidRPr="000D7CD7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equipos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542A1A" w:rsidRPr="000D7CD7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Equipos computacionales, pc, data show</w:t>
            </w: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42A1A" w:rsidRPr="000D7CD7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42A1A" w:rsidRPr="00C358BA" w:rsidTr="00542A1A">
        <w:tc>
          <w:tcPr>
            <w:tcW w:w="4052" w:type="dxa"/>
          </w:tcPr>
          <w:p w:rsidR="00542A1A" w:rsidRPr="00C358BA" w:rsidRDefault="00542A1A" w:rsidP="00542A1A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731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42A1A" w:rsidRPr="007040C3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7040C3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42A1A" w:rsidRPr="000D7CD7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196"/>
        <w:gridCol w:w="1861"/>
        <w:gridCol w:w="1996"/>
        <w:gridCol w:w="1249"/>
      </w:tblGrid>
      <w:tr w:rsidR="00542A1A" w:rsidRPr="00204FD5" w:rsidTr="00542A1A">
        <w:trPr>
          <w:trHeight w:val="553"/>
          <w:jc w:val="center"/>
        </w:trPr>
        <w:tc>
          <w:tcPr>
            <w:tcW w:w="3311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/>
              </w:rPr>
            </w:pPr>
            <w:r w:rsidRPr="002176FC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1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No aplica</w:t>
            </w:r>
          </w:p>
        </w:tc>
        <w:tc>
          <w:tcPr>
            <w:tcW w:w="186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Bajo</w:t>
            </w:r>
          </w:p>
        </w:tc>
        <w:tc>
          <w:tcPr>
            <w:tcW w:w="19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Medio</w:t>
            </w:r>
          </w:p>
        </w:tc>
        <w:tc>
          <w:tcPr>
            <w:tcW w:w="124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Alto</w:t>
            </w:r>
          </w:p>
        </w:tc>
      </w:tr>
      <w:tr w:rsidR="00542A1A" w:rsidRPr="00204FD5" w:rsidTr="00542A1A">
        <w:trPr>
          <w:trHeight w:val="276"/>
          <w:jc w:val="center"/>
        </w:trPr>
        <w:tc>
          <w:tcPr>
            <w:tcW w:w="3311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Estrés </w:t>
            </w:r>
          </w:p>
        </w:tc>
        <w:tc>
          <w:tcPr>
            <w:tcW w:w="119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  <w:tr w:rsidR="00542A1A" w:rsidRPr="00204FD5" w:rsidTr="00542A1A">
        <w:trPr>
          <w:trHeight w:val="276"/>
          <w:jc w:val="center"/>
        </w:trPr>
        <w:tc>
          <w:tcPr>
            <w:tcW w:w="3311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Lumbago </w:t>
            </w:r>
          </w:p>
        </w:tc>
        <w:tc>
          <w:tcPr>
            <w:tcW w:w="1196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</w:rPr>
            </w:pPr>
            <w:r w:rsidRPr="002176FC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9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</w:p>
        </w:tc>
      </w:tr>
      <w:tr w:rsidR="00542A1A" w:rsidRPr="00204FD5" w:rsidTr="00542A1A">
        <w:trPr>
          <w:trHeight w:val="536"/>
          <w:jc w:val="center"/>
        </w:trPr>
        <w:tc>
          <w:tcPr>
            <w:tcW w:w="3311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/>
              </w:rPr>
            </w:pPr>
            <w:r w:rsidRPr="002176FC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1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Nunca</w:t>
            </w:r>
          </w:p>
        </w:tc>
        <w:tc>
          <w:tcPr>
            <w:tcW w:w="186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Ocasionalmente</w:t>
            </w:r>
          </w:p>
        </w:tc>
        <w:tc>
          <w:tcPr>
            <w:tcW w:w="1996" w:type="dxa"/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Frecuentemente</w:t>
            </w:r>
          </w:p>
        </w:tc>
        <w:tc>
          <w:tcPr>
            <w:tcW w:w="1249" w:type="dxa"/>
          </w:tcPr>
          <w:p w:rsidR="00542A1A" w:rsidRPr="002176FC" w:rsidRDefault="00542A1A" w:rsidP="00542A1A">
            <w:pPr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Siempre</w:t>
            </w:r>
          </w:p>
        </w:tc>
      </w:tr>
      <w:tr w:rsidR="00542A1A" w:rsidRPr="00204FD5" w:rsidTr="00542A1A">
        <w:trPr>
          <w:trHeight w:val="70"/>
          <w:jc w:val="center"/>
        </w:trPr>
        <w:tc>
          <w:tcPr>
            <w:tcW w:w="3311" w:type="dxa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EPP</w:t>
            </w:r>
          </w:p>
        </w:tc>
        <w:tc>
          <w:tcPr>
            <w:tcW w:w="11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>X</w:t>
            </w: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932"/>
        <w:gridCol w:w="477"/>
        <w:gridCol w:w="3942"/>
      </w:tblGrid>
      <w:tr w:rsidR="00542A1A" w:rsidRPr="00204FD5" w:rsidTr="00542A1A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542A1A" w:rsidRPr="00204FD5" w:rsidTr="00542A1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Funcionarios del SCR Pediatría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Pacientes y visitas del SCR. Pediatría.</w:t>
            </w:r>
          </w:p>
        </w:tc>
      </w:tr>
      <w:tr w:rsidR="00542A1A" w:rsidRPr="00204FD5" w:rsidTr="00542A1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Unidades de apoyo del SCR Pediatría.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Otros (Según Requerimiento).</w:t>
            </w:r>
          </w:p>
        </w:tc>
      </w:tr>
    </w:tbl>
    <w:p w:rsidR="00963919" w:rsidRDefault="00963919" w:rsidP="00086FFF">
      <w:pPr>
        <w:jc w:val="both"/>
        <w:rPr>
          <w:rFonts w:ascii="Arial" w:hAnsi="Arial" w:cs="Arial"/>
          <w:b/>
        </w:rPr>
      </w:pPr>
    </w:p>
    <w:p w:rsidR="00BB19EA" w:rsidRDefault="00BB19EA" w:rsidP="00086FFF">
      <w:pPr>
        <w:jc w:val="both"/>
        <w:rPr>
          <w:rFonts w:ascii="Arial" w:hAnsi="Arial" w:cs="Arial"/>
          <w:b/>
        </w:rPr>
      </w:pPr>
    </w:p>
    <w:p w:rsidR="00BB19EA" w:rsidRPr="00103888" w:rsidRDefault="00BB19EA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87"/>
        <w:gridCol w:w="454"/>
        <w:gridCol w:w="454"/>
        <w:gridCol w:w="445"/>
      </w:tblGrid>
      <w:tr w:rsidR="00542A1A" w:rsidRPr="002176FC" w:rsidTr="00542A1A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542A1A" w:rsidRPr="002176FC" w:rsidTr="00542A1A">
        <w:trPr>
          <w:trHeight w:val="7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Respetar y asumir a cabalidad, la visión, misión, valores y objetivos de la Institución. Implica la disposición para asumir con responsabilidad los compromisos declarados por la organización, haciéndolos propios.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176FC" w:rsidTr="00542A1A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Probidad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176FC" w:rsidTr="00542A1A">
        <w:trPr>
          <w:trHeight w:val="7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7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24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Trabajo de equipo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6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9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Manejo de conflictos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Confianza en sí mismo/a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</w:tr>
      <w:tr w:rsidR="00542A1A" w:rsidRPr="002176FC" w:rsidTr="00542A1A">
        <w:trPr>
          <w:trHeight w:val="73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Aceptar los cambios del entorno organizacional, modificando la propia perspectiva y comportamiento. Implica poseer la flexibilidad y disposición para adaptarse en forma oportuna a nuevos escenarios.</w:t>
            </w:r>
          </w:p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2176FC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542A1A" w:rsidRPr="002176FC" w:rsidTr="00542A1A">
        <w:trPr>
          <w:trHeight w:val="502"/>
          <w:jc w:val="center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</w:rPr>
              <w:t xml:space="preserve">Manejos de Tecnologías de </w:t>
            </w:r>
            <w:r w:rsidRPr="002176FC">
              <w:rPr>
                <w:rFonts w:ascii="Arial" w:hAnsi="Arial" w:cs="Arial"/>
              </w:rPr>
              <w:lastRenderedPageBreak/>
              <w:t>Información y Comunicación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</w:rPr>
              <w:lastRenderedPageBreak/>
              <w:t xml:space="preserve">Operar las herramientas tecnológicas y de comunicación requeridas para el desempeño de sus funciones. Implica el interés por conocer y utilizar de modo regular y eficiente los </w:t>
            </w:r>
            <w:r w:rsidRPr="002176FC">
              <w:rPr>
                <w:rFonts w:ascii="Arial" w:hAnsi="Arial" w:cs="Arial"/>
              </w:rPr>
              <w:lastRenderedPageBreak/>
              <w:t xml:space="preserve">programas, aplicaciones y sistemas adoptados por la Institución o área funcional.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rPr>
                <w:rFonts w:ascii="Arial" w:hAnsi="Arial" w:cs="Arial"/>
                <w:bCs/>
              </w:rPr>
            </w:pPr>
            <w:r w:rsidRPr="002176FC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1A" w:rsidRPr="002176FC" w:rsidRDefault="00542A1A" w:rsidP="00542A1A">
            <w:pPr>
              <w:rPr>
                <w:rFonts w:ascii="Arial" w:hAnsi="Arial" w:cs="Arial"/>
                <w:bCs/>
              </w:rPr>
            </w:pPr>
          </w:p>
        </w:tc>
      </w:tr>
    </w:tbl>
    <w:p w:rsidR="00086FFF" w:rsidRDefault="00086FFF" w:rsidP="00086FFF">
      <w:pPr>
        <w:ind w:left="785"/>
        <w:jc w:val="both"/>
        <w:rPr>
          <w:rFonts w:ascii="Arial" w:hAnsi="Arial" w:cs="Arial"/>
          <w:b/>
        </w:rPr>
      </w:pPr>
    </w:p>
    <w:p w:rsidR="00542A1A" w:rsidRPr="002176FC" w:rsidRDefault="00542A1A" w:rsidP="00542A1A">
      <w:pPr>
        <w:pStyle w:val="Prrafodelista"/>
        <w:ind w:left="0"/>
        <w:jc w:val="both"/>
        <w:rPr>
          <w:rFonts w:ascii="Arial" w:hAnsi="Arial" w:cs="Arial"/>
          <w:b/>
          <w:snapToGrid w:val="0"/>
          <w:lang w:val="es-ES_tradnl"/>
        </w:rPr>
      </w:pPr>
      <w:r w:rsidRPr="002176FC">
        <w:rPr>
          <w:rFonts w:ascii="Arial" w:hAnsi="Arial" w:cs="Arial"/>
          <w:b/>
          <w:snapToGrid w:val="0"/>
          <w:lang w:val="es-ES_tradnl"/>
        </w:rPr>
        <w:t xml:space="preserve">1.9. COMPETENCIAS ESPECÍFICAS 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983"/>
        <w:gridCol w:w="425"/>
        <w:gridCol w:w="425"/>
        <w:gridCol w:w="388"/>
      </w:tblGrid>
      <w:tr w:rsidR="00542A1A" w:rsidRPr="00204FD5" w:rsidTr="00542A1A">
        <w:trPr>
          <w:trHeight w:val="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2176FC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542A1A" w:rsidRPr="00204FD5" w:rsidTr="00542A1A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Atención al cliente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  <w:lang w:val="es-MX"/>
              </w:rPr>
              <w:t xml:space="preserve">Es la capacidad de percibir las necesidades de los usuarios, y ser capaz de darles satisfacción, </w:t>
            </w:r>
            <w:r w:rsidRPr="002176FC">
              <w:rPr>
                <w:rFonts w:ascii="Arial" w:hAnsi="Arial" w:cs="Arial"/>
              </w:rPr>
              <w:t xml:space="preserve">es la habilidad de dar una respuesta eficaz anticipándose, si es posible, a sus demandas o necesidades.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X</w:t>
            </w:r>
          </w:p>
        </w:tc>
      </w:tr>
      <w:tr w:rsidR="00542A1A" w:rsidRPr="00204FD5" w:rsidTr="00542A1A">
        <w:trPr>
          <w:trHeight w:val="102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bCs/>
              </w:rPr>
              <w:t>Sociabilidad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176FC">
              <w:rPr>
                <w:rFonts w:ascii="Arial" w:hAnsi="Arial" w:cs="Arial"/>
              </w:rPr>
              <w:t xml:space="preserve">Mostrar habilidades para la relación y el contacto personal, sin necesidad de muchos apoyos externos al sujeto o de situaciones muy estructuradas en las que esta relación viene dada por sí sola. Tiene que ver con elementos de la motivación de </w:t>
            </w:r>
            <w:r w:rsidRPr="002176FC">
              <w:rPr>
                <w:rFonts w:ascii="Arial" w:hAnsi="Arial" w:cs="Arial"/>
                <w:iCs/>
              </w:rPr>
              <w:t>afiliación</w:t>
            </w:r>
            <w:r w:rsidRPr="002176FC">
              <w:rPr>
                <w:rFonts w:ascii="Arial" w:hAnsi="Arial" w:cs="Arial"/>
                <w:i/>
                <w:iCs/>
              </w:rPr>
              <w:t xml:space="preserve"> </w:t>
            </w:r>
            <w:r w:rsidRPr="002176FC">
              <w:rPr>
                <w:rFonts w:ascii="Arial" w:hAnsi="Arial" w:cs="Arial"/>
              </w:rPr>
              <w:t xml:space="preserve">y con el </w:t>
            </w:r>
            <w:r w:rsidRPr="002176FC">
              <w:rPr>
                <w:rFonts w:ascii="Arial" w:hAnsi="Arial" w:cs="Arial"/>
                <w:iCs/>
              </w:rPr>
              <w:t>gusto</w:t>
            </w:r>
            <w:r w:rsidRPr="002176FC">
              <w:rPr>
                <w:rFonts w:ascii="Arial" w:hAnsi="Arial" w:cs="Arial"/>
                <w:i/>
                <w:iCs/>
              </w:rPr>
              <w:t xml:space="preserve"> </w:t>
            </w:r>
            <w:r w:rsidRPr="002176FC">
              <w:rPr>
                <w:rFonts w:ascii="Arial" w:hAnsi="Arial" w:cs="Arial"/>
              </w:rPr>
              <w:t>que algunas personas encuentran en relacionarse con otras y mantener lazos afectivos positivos y enriquecedores.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X</w:t>
            </w:r>
          </w:p>
        </w:tc>
      </w:tr>
      <w:tr w:rsidR="00542A1A" w:rsidRPr="00204FD5" w:rsidTr="00542A1A">
        <w:trPr>
          <w:trHeight w:val="71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Cooperación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both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Capacidad de poder equilibrar el compromiso con el grupo y sus metas con sus propias prioridades, apoyar a otras personas, habilidad de presentar ideas y escuchar las ideas de los otros, de construir alianzas tácticas y sostenibles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1A" w:rsidRPr="002176FC" w:rsidRDefault="00542A1A" w:rsidP="00542A1A">
            <w:pPr>
              <w:jc w:val="center"/>
              <w:rPr>
                <w:rFonts w:ascii="Arial" w:hAnsi="Arial" w:cs="Arial"/>
                <w:lang w:val="es-MX"/>
              </w:rPr>
            </w:pPr>
            <w:r w:rsidRPr="002176FC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542A1A" w:rsidRDefault="00542A1A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BB19EA" w:rsidRDefault="00BB19EA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BB19EA" w:rsidRPr="004A378E" w:rsidRDefault="00BB19EA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lastRenderedPageBreak/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542A1A" w:rsidRDefault="00542A1A" w:rsidP="00542A1A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42A1A" w:rsidRPr="00AB3420" w:rsidRDefault="00542A1A" w:rsidP="00542A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>
        <w:rPr>
          <w:rFonts w:ascii="Arial" w:hAnsi="Arial" w:cs="Arial"/>
        </w:rPr>
        <w:t xml:space="preserve">Martes 25 de Febrero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 xml:space="preserve">Martes 25 de Febrero </w:t>
      </w:r>
      <w:r w:rsidRPr="00AB3420">
        <w:rPr>
          <w:rFonts w:ascii="Arial" w:hAnsi="Arial" w:cs="Arial"/>
          <w:b/>
        </w:rPr>
        <w:t xml:space="preserve">hasta las 13:00 horas del </w:t>
      </w:r>
      <w:r>
        <w:rPr>
          <w:rFonts w:ascii="Arial" w:hAnsi="Arial" w:cs="Arial"/>
          <w:b/>
        </w:rPr>
        <w:t xml:space="preserve">Miércoles 04 de Marzo de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986373" w:rsidRPr="00542A1A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80A67" w:rsidRPr="00AB3420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A9763C" w:rsidRPr="00AB3420" w:rsidRDefault="00542A1A" w:rsidP="00DE3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>
              <w:rPr>
                <w:rFonts w:ascii="Arial" w:hAnsi="Arial" w:cs="Arial"/>
              </w:rPr>
              <w:t xml:space="preserve"> </w:t>
            </w:r>
            <w:r w:rsidRPr="00AB3420">
              <w:rPr>
                <w:rFonts w:ascii="Arial" w:hAnsi="Arial" w:cs="Arial"/>
                <w:b/>
              </w:rPr>
              <w:t xml:space="preserve">08:30 horas del </w:t>
            </w:r>
            <w:r>
              <w:rPr>
                <w:rFonts w:ascii="Arial" w:hAnsi="Arial" w:cs="Arial"/>
                <w:b/>
              </w:rPr>
              <w:t xml:space="preserve">Martes 25 de Febrero </w:t>
            </w:r>
            <w:r w:rsidRPr="00AB3420">
              <w:rPr>
                <w:rFonts w:ascii="Arial" w:hAnsi="Arial" w:cs="Arial"/>
                <w:b/>
              </w:rPr>
              <w:t xml:space="preserve">hasta las 13:00 horas del </w:t>
            </w:r>
            <w:r w:rsidR="00FB2EA6">
              <w:rPr>
                <w:rFonts w:ascii="Arial" w:hAnsi="Arial" w:cs="Arial"/>
                <w:b/>
              </w:rPr>
              <w:t>Miércoles 04 de Marzo</w:t>
            </w:r>
            <w:r>
              <w:rPr>
                <w:rFonts w:ascii="Arial" w:hAnsi="Arial" w:cs="Arial"/>
                <w:b/>
              </w:rPr>
              <w:t xml:space="preserve">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42A1A" w:rsidRPr="00BF4D6E" w:rsidTr="00542A1A">
        <w:trPr>
          <w:jc w:val="center"/>
        </w:trPr>
        <w:tc>
          <w:tcPr>
            <w:tcW w:w="7792" w:type="dxa"/>
            <w:gridSpan w:val="2"/>
          </w:tcPr>
          <w:p w:rsidR="00542A1A" w:rsidRPr="00BF4D6E" w:rsidRDefault="00542A1A" w:rsidP="00542A1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 puntos</w:t>
            </w:r>
          </w:p>
        </w:tc>
      </w:tr>
      <w:tr w:rsidR="00542A1A" w:rsidRPr="00BF4D6E" w:rsidTr="00542A1A">
        <w:trPr>
          <w:jc w:val="center"/>
        </w:trPr>
        <w:tc>
          <w:tcPr>
            <w:tcW w:w="7792" w:type="dxa"/>
            <w:gridSpan w:val="2"/>
          </w:tcPr>
          <w:p w:rsidR="00542A1A" w:rsidRPr="00384747" w:rsidRDefault="00542A1A" w:rsidP="00542A1A">
            <w:pPr>
              <w:pStyle w:val="Prrafodelista"/>
              <w:ind w:left="0"/>
              <w:jc w:val="both"/>
              <w:rPr>
                <w:rFonts w:ascii="Arial" w:hAnsi="Arial" w:cs="Arial"/>
                <w:lang w:val="es-ES_tradnl"/>
              </w:rPr>
            </w:pPr>
            <w:r w:rsidRPr="00BF4D6E">
              <w:rPr>
                <w:rFonts w:ascii="Arial" w:hAnsi="Arial" w:cs="Arial"/>
              </w:rPr>
              <w:t>Nota: lo acorde o atingente del título se definirá de acuerdo a lo expresado en el punto 1.5.2 de estas bases</w:t>
            </w:r>
            <w:r>
              <w:rPr>
                <w:rFonts w:ascii="Arial" w:hAnsi="Arial" w:cs="Arial"/>
              </w:rPr>
              <w:t>: “</w:t>
            </w:r>
            <w:r w:rsidRPr="00011246">
              <w:rPr>
                <w:rFonts w:ascii="Arial" w:hAnsi="Arial" w:cs="Arial"/>
              </w:rPr>
              <w:t>Título</w:t>
            </w:r>
            <w:r>
              <w:rPr>
                <w:rFonts w:ascii="Arial" w:hAnsi="Arial" w:cs="Arial"/>
              </w:rPr>
              <w:t xml:space="preserve"> Técnico en Enfermería de Nivel Superior”.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42A1A" w:rsidRPr="00BF4D6E" w:rsidTr="00542A1A">
        <w:trPr>
          <w:jc w:val="center"/>
        </w:trPr>
        <w:tc>
          <w:tcPr>
            <w:tcW w:w="7792" w:type="dxa"/>
            <w:gridSpan w:val="2"/>
          </w:tcPr>
          <w:p w:rsidR="00542A1A" w:rsidRPr="00BF4D6E" w:rsidRDefault="00542A1A" w:rsidP="00542A1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542A1A" w:rsidRPr="00BF4D6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o mas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542A1A" w:rsidRPr="00F6723E" w:rsidTr="00542A1A">
        <w:trPr>
          <w:trHeight w:val="944"/>
          <w:jc w:val="center"/>
        </w:trPr>
        <w:tc>
          <w:tcPr>
            <w:tcW w:w="7792" w:type="dxa"/>
            <w:gridSpan w:val="2"/>
          </w:tcPr>
          <w:p w:rsidR="00542A1A" w:rsidRPr="00BF4D6E" w:rsidRDefault="00542A1A" w:rsidP="00542A1A">
            <w:pPr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 xml:space="preserve">Nota: Las capacitaciones se considerarán con 5 años de vigencia, contando desde </w:t>
            </w:r>
            <w:r>
              <w:rPr>
                <w:rFonts w:ascii="Arial" w:hAnsi="Arial" w:cs="Arial"/>
              </w:rPr>
              <w:t xml:space="preserve">el primer </w:t>
            </w:r>
            <w:r w:rsidRPr="00356313">
              <w:rPr>
                <w:rFonts w:ascii="Arial" w:hAnsi="Arial" w:cs="Arial"/>
              </w:rPr>
              <w:t>día hábil de recepción de antecedentes mencionado en el punto 3.1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42A1A" w:rsidRPr="00F6723E" w:rsidTr="00542A1A">
        <w:trPr>
          <w:jc w:val="center"/>
        </w:trPr>
        <w:tc>
          <w:tcPr>
            <w:tcW w:w="7792" w:type="dxa"/>
            <w:gridSpan w:val="2"/>
          </w:tcPr>
          <w:p w:rsidR="00542A1A" w:rsidRPr="00BF4D6E" w:rsidRDefault="00542A1A" w:rsidP="00542A1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a 1 año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Más de 3 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542A1A" w:rsidRPr="00F6723E" w:rsidTr="00542A1A">
        <w:trPr>
          <w:jc w:val="center"/>
        </w:trPr>
        <w:tc>
          <w:tcPr>
            <w:tcW w:w="7792" w:type="dxa"/>
            <w:gridSpan w:val="2"/>
          </w:tcPr>
          <w:p w:rsidR="00542A1A" w:rsidRPr="00356313" w:rsidRDefault="00542A1A" w:rsidP="00542A1A">
            <w:pPr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 xml:space="preserve">Nota: la experiencia del postulante se definirá de acuerdo a lo establecido en el punto </w:t>
            </w:r>
            <w:r>
              <w:rPr>
                <w:rFonts w:ascii="Arial" w:hAnsi="Arial" w:cs="Arial"/>
              </w:rPr>
              <w:t xml:space="preserve">1.5.4 de estas bases, apartado </w:t>
            </w:r>
            <w:r w:rsidRPr="00356313">
              <w:rPr>
                <w:rFonts w:ascii="Arial" w:hAnsi="Arial" w:cs="Arial"/>
              </w:rPr>
              <w:t>Experiencia labor</w:t>
            </w:r>
            <w:r>
              <w:rPr>
                <w:rFonts w:ascii="Arial" w:hAnsi="Arial" w:cs="Arial"/>
              </w:rPr>
              <w:t>al en un cargo igual o similar: “6 meses deseable”.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42A1A" w:rsidRPr="00F6723E" w:rsidTr="00542A1A">
        <w:trPr>
          <w:jc w:val="center"/>
        </w:trPr>
        <w:tc>
          <w:tcPr>
            <w:tcW w:w="7792" w:type="dxa"/>
            <w:gridSpan w:val="2"/>
          </w:tcPr>
          <w:p w:rsidR="00542A1A" w:rsidRPr="00BF4D6E" w:rsidRDefault="00542A1A" w:rsidP="00542A1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542A1A" w:rsidRPr="00356313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42A1A" w:rsidRPr="00F6723E" w:rsidTr="00542A1A">
        <w:trPr>
          <w:jc w:val="center"/>
        </w:trPr>
        <w:tc>
          <w:tcPr>
            <w:tcW w:w="3964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542A1A" w:rsidRPr="00BF4D6E" w:rsidRDefault="00542A1A" w:rsidP="00542A1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542A1A" w:rsidRPr="00F6723E" w:rsidTr="00542A1A">
        <w:trPr>
          <w:jc w:val="center"/>
        </w:trPr>
        <w:tc>
          <w:tcPr>
            <w:tcW w:w="7792" w:type="dxa"/>
            <w:gridSpan w:val="2"/>
          </w:tcPr>
          <w:p w:rsidR="00542A1A" w:rsidRPr="00356313" w:rsidRDefault="00542A1A" w:rsidP="00542A1A">
            <w:pPr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</w:rPr>
              <w:t>ses, apartado “1 años de experiencia requerido, deseable”.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0B4980" w:rsidRPr="00542A1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542A1A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542A1A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FB2EA6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FB2EA6" w:rsidRDefault="00FB2EA6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FB2EA6" w:rsidRPr="00A9763C" w:rsidTr="00D02441">
        <w:trPr>
          <w:jc w:val="center"/>
        </w:trPr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FB2EA6" w:rsidRPr="00A9763C" w:rsidTr="00D02441">
        <w:trPr>
          <w:jc w:val="center"/>
        </w:trPr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FB2EA6" w:rsidRPr="00A9763C" w:rsidTr="00D02441">
        <w:trPr>
          <w:jc w:val="center"/>
        </w:trPr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15" w:type="dxa"/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FB2EA6" w:rsidRPr="00A9763C" w:rsidTr="00D02441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FB2EA6" w:rsidRPr="00A9763C" w:rsidRDefault="00FB2EA6" w:rsidP="00D024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FB2EA6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B2EA6" w:rsidRDefault="00FB2EA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0C" w:rsidRDefault="00B0430C">
      <w:r>
        <w:separator/>
      </w:r>
    </w:p>
  </w:endnote>
  <w:endnote w:type="continuationSeparator" w:id="0">
    <w:p w:rsidR="00B0430C" w:rsidRDefault="00B0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2A1A" w:rsidRDefault="00542A1A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BB19EA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BB19EA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0C" w:rsidRDefault="00B0430C">
      <w:r>
        <w:separator/>
      </w:r>
    </w:p>
  </w:footnote>
  <w:footnote w:type="continuationSeparator" w:id="0">
    <w:p w:rsidR="00B0430C" w:rsidRDefault="00B0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542A1A" w:rsidRDefault="00542A1A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542A1A" w:rsidRDefault="00542A1A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542A1A" w:rsidRPr="00420DE9" w:rsidRDefault="00542A1A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542A1A" w:rsidRPr="00951AD5" w:rsidRDefault="00542A1A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542A1A" w:rsidRPr="00F10342" w:rsidRDefault="00542A1A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1A" w:rsidRDefault="00542A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2A1A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B0D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764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E0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B03B41"/>
    <w:rsid w:val="00B040B2"/>
    <w:rsid w:val="00B0430C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9EA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2EA6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7986-B2EE-4385-9E70-AB5A8A3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3377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21910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3</cp:revision>
  <cp:lastPrinted>2019-11-26T12:29:00Z</cp:lastPrinted>
  <dcterms:created xsi:type="dcterms:W3CDTF">2020-02-21T18:42:00Z</dcterms:created>
  <dcterms:modified xsi:type="dcterms:W3CDTF">2020-02-24T15:15:00Z</dcterms:modified>
</cp:coreProperties>
</file>